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00" w:rsidRPr="00DE378E" w:rsidRDefault="009D1C00" w:rsidP="009D1C00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9D1C00" w:rsidRPr="00DE378E" w:rsidRDefault="009D1C00" w:rsidP="009D1C00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9D1C00" w:rsidRPr="00DE378E" w:rsidRDefault="009D1C00" w:rsidP="009D1C00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9D1C00" w:rsidRPr="00DE378E" w:rsidRDefault="009D1C00" w:rsidP="009D1C00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2017</w:t>
      </w:r>
    </w:p>
    <w:p w:rsidR="009D1C00" w:rsidRDefault="009D1C00" w:rsidP="009D1C00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9D1C00" w:rsidRDefault="009D1C00" w:rsidP="009D1C00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9D1C00" w:rsidRPr="00DE378E" w:rsidRDefault="009D1C00" w:rsidP="009D1C00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960"/>
        <w:gridCol w:w="2340"/>
        <w:gridCol w:w="3960"/>
      </w:tblGrid>
      <w:tr w:rsidR="009D1C00" w:rsidRPr="00DE378E" w:rsidTr="003C586F">
        <w:tc>
          <w:tcPr>
            <w:tcW w:w="360" w:type="dxa"/>
          </w:tcPr>
          <w:p w:rsidR="009D1C00" w:rsidRPr="00DE378E" w:rsidRDefault="009D1C00" w:rsidP="003C586F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9D1C00" w:rsidRPr="00DE378E" w:rsidRDefault="009D1C00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9D1C00" w:rsidRPr="00DE378E" w:rsidRDefault="009D1C00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9D1C00" w:rsidRPr="00DE378E" w:rsidRDefault="009D1C00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9D1C00" w:rsidRPr="00DE378E" w:rsidRDefault="009D1C00" w:rsidP="003C586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960" w:type="dxa"/>
          </w:tcPr>
          <w:p w:rsidR="009D1C00" w:rsidRPr="00DE378E" w:rsidRDefault="009D1C00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9D1C00" w:rsidRPr="00DE378E" w:rsidRDefault="009D1C00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3960" w:type="dxa"/>
          </w:tcPr>
          <w:p w:rsidR="009D1C00" w:rsidRPr="00DE378E" w:rsidRDefault="009D1C00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9D1C00" w:rsidRPr="00DE378E" w:rsidRDefault="009D1C00" w:rsidP="003C586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9D1C00" w:rsidRPr="00DE378E" w:rsidTr="003C586F">
        <w:tc>
          <w:tcPr>
            <w:tcW w:w="360" w:type="dxa"/>
          </w:tcPr>
          <w:p w:rsidR="009D1C00" w:rsidRPr="00DE378E" w:rsidRDefault="000C79B2" w:rsidP="003C586F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  <w:r w:rsidR="009D1C00" w:rsidRPr="00DE378E">
              <w:rPr>
                <w:rFonts w:ascii="Calibri" w:hAnsi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2430" w:type="dxa"/>
          </w:tcPr>
          <w:p w:rsidR="009D1C00" w:rsidRDefault="009D1C00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hyperlink r:id="rId4" w:history="1">
              <w:proofErr w:type="spellStart"/>
              <w:r w:rsidRPr="00F30D05">
                <w:rPr>
                  <w:rStyle w:val="Hyperlink"/>
                  <w:sz w:val="18"/>
                  <w:szCs w:val="18"/>
                </w:rPr>
                <w:t>Ba</w:t>
              </w:r>
              <w:r w:rsidRPr="00F30D05">
                <w:rPr>
                  <w:rStyle w:val="Hyperlink"/>
                  <w:sz w:val="18"/>
                  <w:szCs w:val="18"/>
                </w:rPr>
                <w:t>l</w:t>
              </w:r>
              <w:r w:rsidRPr="00F30D05">
                <w:rPr>
                  <w:rStyle w:val="Hyperlink"/>
                  <w:sz w:val="18"/>
                  <w:szCs w:val="18"/>
                </w:rPr>
                <w:t>akin</w:t>
              </w:r>
              <w:proofErr w:type="spellEnd"/>
            </w:hyperlink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 xml:space="preserve"> c. </w:t>
            </w:r>
            <w:proofErr w:type="spellStart"/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>Moldovei</w:t>
            </w:r>
            <w:proofErr w:type="spellEnd"/>
          </w:p>
          <w:p w:rsidR="009D1C00" w:rsidRPr="00DE378E" w:rsidRDefault="009D1C00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9D1C00" w:rsidRPr="00DE378E" w:rsidRDefault="009D1C00" w:rsidP="003C586F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DE378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26/01/2016</w:t>
            </w:r>
          </w:p>
        </w:tc>
        <w:tc>
          <w:tcPr>
            <w:tcW w:w="1086" w:type="dxa"/>
          </w:tcPr>
          <w:p w:rsidR="009D1C00" w:rsidRPr="00DE378E" w:rsidRDefault="009D1C00" w:rsidP="003C586F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color w:val="auto"/>
                <w:sz w:val="18"/>
                <w:szCs w:val="18"/>
                <w:lang w:val="ro-RO"/>
              </w:rPr>
            </w:pPr>
            <w:hyperlink r:id="rId5" w:anchor="{&quot;fulltext&quot;:[&quot;59474/11&quot;],&quot;documentcollectionid2&quot;:[&quot;JUDGMENTS&quot;,&quot;DECISIONS&quot;,&quot;COMMUNICATEDCASES&quot;]}" w:history="1"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59474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/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11</w:t>
              </w:r>
            </w:hyperlink>
          </w:p>
        </w:tc>
        <w:tc>
          <w:tcPr>
            <w:tcW w:w="3960" w:type="dxa"/>
          </w:tcPr>
          <w:p w:rsidR="009D1C00" w:rsidRPr="00DE378E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5 § 3 CEDO</w:t>
            </w: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 xml:space="preserve"> – lipsa motivelor relevante și suficiente pentru aplicarea arestului preventiv</w:t>
            </w:r>
          </w:p>
          <w:p w:rsidR="009D1C00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9D1C00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Curt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ea a constatat, în unanimitate,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 xml:space="preserve"> că detenția reclamantului a fost excesiv de </w:t>
            </w:r>
            <w:r w:rsidRPr="00CB114C">
              <w:rPr>
                <w:rFonts w:ascii="Calibri" w:hAnsi="Calibri" w:cs="Calibri"/>
                <w:sz w:val="18"/>
                <w:szCs w:val="18"/>
                <w:lang w:val="ro-RO"/>
              </w:rPr>
              <w:t xml:space="preserve">lungă (pentru o perioadă mai mare de 29 de luni, pe aceleași motive) și 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nu s-a bazat pe motive suficiente și relevante.</w:t>
            </w:r>
          </w:p>
          <w:p w:rsidR="009D1C00" w:rsidRPr="00CB114C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9D1C00" w:rsidRPr="00DE378E" w:rsidRDefault="009D1C00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sz w:val="18"/>
                <w:szCs w:val="18"/>
              </w:rPr>
            </w:pPr>
            <w:r w:rsidRPr="00DE378E">
              <w:rPr>
                <w:bCs w:val="0"/>
                <w:sz w:val="18"/>
                <w:szCs w:val="18"/>
              </w:rPr>
              <w:t xml:space="preserve">Reclamantul nu a formulat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pretenţii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cu titlu de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satisfacţie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echitabilă</w:t>
            </w:r>
          </w:p>
        </w:tc>
        <w:tc>
          <w:tcPr>
            <w:tcW w:w="3960" w:type="dxa"/>
          </w:tcPr>
          <w:p w:rsidR="009D1C00" w:rsidRPr="009218C9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  <w:r w:rsidRPr="00776BDB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municipiului Chișinău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0C79B2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GUZIC Vlad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procuror (a solicitat prelungirea arestului peste termenul legal prevăzut de legislația în vigoare)</w:t>
            </w:r>
          </w:p>
          <w:p w:rsidR="009D1C00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</w:p>
          <w:p w:rsidR="009D1C00" w:rsidRPr="007E1424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9218C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Ialo</w:t>
            </w:r>
            <w:bookmarkStart w:id="0" w:name="_GoBack"/>
            <w:r w:rsidRPr="009218C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</w:t>
            </w:r>
            <w:bookmarkEnd w:id="0"/>
            <w:r w:rsidRPr="009218C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eni</w:t>
            </w:r>
            <w:r w:rsidRPr="009218C9">
              <w:rPr>
                <w:rFonts w:ascii="Calibri" w:hAnsi="Calibri"/>
                <w:sz w:val="18"/>
                <w:szCs w:val="18"/>
                <w:lang w:val="ro-R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9218C9">
              <w:rPr>
                <w:rFonts w:ascii="Calibri" w:hAnsi="Calibri"/>
                <w:b/>
                <w:sz w:val="18"/>
                <w:szCs w:val="18"/>
                <w:lang w:val="ro-RO"/>
              </w:rPr>
              <w:t>SANDU Alexandru, TOMA Nadejda, LUNGU Grigore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(judecătorii care examinau cauza, nu l-au eliberat din arest pe reclamant,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 xml:space="preserve">în conformitate cu Articolul 186 (8) al Codului de procedură penală,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care prevede că,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>odată ce dosarul este trimis în instanța de judecată, arestul nu poate depăși 6 lun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i,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decît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în cazuri excepționale)</w:t>
            </w:r>
          </w:p>
          <w:p w:rsidR="009D1C00" w:rsidRPr="00521960" w:rsidRDefault="009D1C00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</w:tr>
    </w:tbl>
    <w:p w:rsidR="005D7EA1" w:rsidRPr="009D1C00" w:rsidRDefault="005D7EA1">
      <w:pPr>
        <w:rPr>
          <w:lang w:val="ro-RO"/>
        </w:rPr>
      </w:pPr>
    </w:p>
    <w:sectPr w:rsidR="005D7EA1" w:rsidRPr="009D1C00" w:rsidSect="009D1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0"/>
    <w:rsid w:val="00084170"/>
    <w:rsid w:val="000C79B2"/>
    <w:rsid w:val="005D7EA1"/>
    <w:rsid w:val="009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98E9F-7134-411F-9E49-D9A5017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D1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D1C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D1C00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D1C00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styleId="Hyperlink">
    <w:name w:val="Hyperlink"/>
    <w:basedOn w:val="DefaultParagraphFont"/>
    <w:rsid w:val="009D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www.lhr.md/news/4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2017-03-01T13:11:00Z</dcterms:created>
  <dcterms:modified xsi:type="dcterms:W3CDTF">2017-03-01T13:12:00Z</dcterms:modified>
</cp:coreProperties>
</file>